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0000"/>
        </w:rPr>
      </w:pPr>
      <w:r>
        <w:rPr>
          <w:color w:val="FF0000"/>
        </w:rPr>
        <w:t>-</w:t>
      </w:r>
      <w:r>
        <w:rPr>
          <w:b/>
          <w:bCs/>
          <w:color w:val="FF0000"/>
        </w:rPr>
        <w:tab/>
      </w:r>
      <w:r>
        <w:rPr>
          <w:b/>
          <w:bCs/>
          <w:color w:val="FF0000"/>
        </w:rPr>
        <w:t>A research question or title</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What role has CG technology had in building public awareness and reflection on environmental protection?</w:t>
      </w:r>
    </w:p>
    <w:p>
      <w:pPr>
        <w:rPr>
          <w:rFonts w:hint="eastAsia"/>
          <w:color w:val="000000" w:themeColor="text1"/>
          <w14:textFill>
            <w14:solidFill>
              <w14:schemeClr w14:val="tx1"/>
            </w14:solidFill>
          </w14:textFill>
        </w:rPr>
      </w:pPr>
    </w:p>
    <w:p>
      <w:pPr>
        <w:rPr>
          <w:b/>
          <w:bCs/>
          <w:color w:val="FF0000"/>
        </w:rPr>
      </w:pPr>
      <w:r>
        <w:rPr>
          <w:b/>
          <w:bCs/>
          <w:color w:val="FF0000"/>
        </w:rPr>
        <w:t>- Keywords/key phrases</w:t>
      </w:r>
    </w:p>
    <w:p>
      <w:pPr>
        <w:rPr>
          <w:color w:val="000000" w:themeColor="text1"/>
          <w14:textFill>
            <w14:solidFill>
              <w14:schemeClr w14:val="tx1"/>
            </w14:solidFill>
          </w14:textFill>
        </w:rPr>
      </w:pPr>
      <w:r>
        <w:rPr>
          <w:color w:val="000000" w:themeColor="text1"/>
          <w14:textFill>
            <w14:solidFill>
              <w14:schemeClr w14:val="tx1"/>
            </w14:solidFill>
          </w14:textFill>
        </w:rPr>
        <w:t>CG Film</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VFX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Sustainability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Computer Graphics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GG Biodiversity</w:t>
      </w:r>
    </w:p>
    <w:p>
      <w:pPr>
        <w:rPr>
          <w:rFonts w:hint="eastAsia"/>
          <w:color w:val="000000" w:themeColor="text1"/>
          <w14:textFill>
            <w14:solidFill>
              <w14:schemeClr w14:val="tx1"/>
            </w14:solidFill>
          </w14:textFill>
        </w:rPr>
      </w:pPr>
    </w:p>
    <w:p>
      <w:pPr>
        <w:rPr>
          <w:b/>
          <w:bCs/>
          <w:color w:val="FF0000"/>
        </w:rPr>
      </w:pPr>
      <w:r>
        <w:rPr>
          <w:color w:val="FF0000"/>
        </w:rPr>
        <w:t xml:space="preserve">- </w:t>
      </w:r>
      <w:r>
        <w:rPr>
          <w:b/>
          <w:bCs/>
          <w:color w:val="FF0000"/>
        </w:rPr>
        <w:t>An Abstract</w:t>
      </w:r>
    </w:p>
    <w:p>
      <w:pPr>
        <w:rPr>
          <w:color w:val="000000" w:themeColor="text1"/>
          <w14:textFill>
            <w14:solidFill>
              <w14:schemeClr w14:val="tx1"/>
            </w14:solidFill>
          </w14:textFill>
        </w:rPr>
      </w:pPr>
      <w:r>
        <w:rPr>
          <w:color w:val="000000" w:themeColor="text1"/>
          <w14:textFill>
            <w14:solidFill>
              <w14:schemeClr w14:val="tx1"/>
            </w14:solidFill>
          </w14:textFill>
        </w:rPr>
        <w:t>Environmental sustainability is already an inevitable development trend. When the emerging computer graphics technology is integrated into the field of mass media, new art forms and different environmental concepts will be produced along with it. However, the mechanisms and effects of CG films in environmental awareness and behavioural change are subliminally changing people's lives. This paper will explore the role and impact of CG films in environmental protection communication, with a special focus on how they construct public awareness and reflection on environmental protection. In the process of analysing existing CG film cases, this form of environmental protection awareness dissemination not only enhances the audience's deep knowledge of the natural environment, but also provides a wide range of opportunities and connections for cultural innovation and creativity.</w:t>
      </w:r>
    </w:p>
    <w:p>
      <w:pPr>
        <w:rPr>
          <w:color w:val="FF0000"/>
        </w:rPr>
      </w:pPr>
    </w:p>
    <w:p>
      <w:pPr>
        <w:rPr>
          <w:b/>
          <w:bCs/>
          <w:color w:val="FF0000"/>
        </w:rPr>
      </w:pPr>
      <w:r>
        <w:rPr>
          <w:color w:val="FF0000"/>
        </w:rPr>
        <w:t xml:space="preserve">- </w:t>
      </w:r>
      <w:r>
        <w:rPr>
          <w:b/>
          <w:bCs/>
          <w:color w:val="FF0000"/>
        </w:rPr>
        <w:t>A structure indicating chapter headings and subheadings.</w:t>
      </w:r>
    </w:p>
    <w:p>
      <w:pPr>
        <w:pStyle w:val="6"/>
        <w:tabs>
          <w:tab w:val="left" w:pos="820"/>
          <w:tab w:val="left" w:pos="821"/>
        </w:tabs>
        <w:spacing w:before="227"/>
        <w:ind w:left="361" w:hanging="361" w:firstLineChars="0"/>
        <w:jc w:val="left"/>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Introduction</w:t>
      </w:r>
    </w:p>
    <w:p>
      <w:pPr>
        <w:pStyle w:val="6"/>
        <w:tabs>
          <w:tab w:val="left" w:pos="820"/>
          <w:tab w:val="left" w:pos="821"/>
        </w:tabs>
        <w:spacing w:before="227"/>
        <w:ind w:left="361" w:hanging="361"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L</w:t>
      </w:r>
      <w:r>
        <w:rPr>
          <w:color w:val="000000" w:themeColor="text1"/>
          <w14:textFill>
            <w14:solidFill>
              <w14:schemeClr w14:val="tx1"/>
            </w14:solidFill>
          </w14:textFill>
        </w:rPr>
        <w:t xml:space="preserve">iterature </w:t>
      </w:r>
      <w:r>
        <w:rPr>
          <w:rFonts w:hint="eastAsia"/>
          <w:color w:val="000000" w:themeColor="text1"/>
          <w:lang w:val="en-US" w:eastAsia="zh-CN"/>
          <w14:textFill>
            <w14:solidFill>
              <w14:schemeClr w14:val="tx1"/>
            </w14:solidFill>
          </w14:textFill>
        </w:rPr>
        <w:t>R</w:t>
      </w:r>
      <w:r>
        <w:rPr>
          <w:color w:val="000000" w:themeColor="text1"/>
          <w14:textFill>
            <w14:solidFill>
              <w14:schemeClr w14:val="tx1"/>
            </w14:solidFill>
          </w14:textFill>
        </w:rPr>
        <w:t>eview</w:t>
      </w:r>
    </w:p>
    <w:p>
      <w:pPr>
        <w:pStyle w:val="6"/>
        <w:tabs>
          <w:tab w:val="left" w:pos="820"/>
          <w:tab w:val="left" w:pos="821"/>
        </w:tabs>
        <w:spacing w:before="227"/>
        <w:ind w:firstLine="0" w:firstLineChars="0"/>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Main Discussion</w:t>
      </w:r>
    </w:p>
    <w:p>
      <w:pPr>
        <w:pStyle w:val="6"/>
        <w:tabs>
          <w:tab w:val="left" w:pos="820"/>
          <w:tab w:val="left" w:pos="821"/>
        </w:tabs>
        <w:spacing w:before="227"/>
        <w:ind w:firstLine="840" w:firstLineChars="4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Environmental Communication Framework: Environmental communication is an interdisciplinary field that examines the generation, dissemination and reception of environmental information, and its impact on public behaviour and policy.The uniqueness of CG film as a communication medium: CG film, as a part of environmental communication, is able to enhance the effectiveness of environmental information dissemination through visual narrative and technological display. The effect of environmental information dissemination through visual narratives and technological presentations.</w:t>
      </w:r>
    </w:p>
    <w:p>
      <w:pPr>
        <w:pStyle w:val="6"/>
        <w:tabs>
          <w:tab w:val="left" w:pos="820"/>
          <w:tab w:val="left" w:pos="821"/>
        </w:tabs>
        <w:spacing w:before="227"/>
        <w:ind w:firstLine="840" w:firstLineChars="4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Cultural Identity Theory : Cultural identity influences how individuals receive and interpret information, the impact of CG films on audience's emotions and behaviours, and the fact that CG films, by combining environmental protection themes from different cultures, can enhance the sense of identity and participation of different cultural groups in environmental issues.</w:t>
      </w:r>
    </w:p>
    <w:p>
      <w:pPr>
        <w:pStyle w:val="6"/>
        <w:tabs>
          <w:tab w:val="left" w:pos="820"/>
          <w:tab w:val="left" w:pos="821"/>
        </w:tabs>
        <w:spacing w:before="227"/>
        <w:ind w:firstLine="800" w:firstLineChars="400"/>
        <w:jc w:val="left"/>
        <w:rPr>
          <w:rFonts w:ascii="宋体" w:hAnsi="宋体" w:eastAsia="宋体"/>
          <w:sz w:val="20"/>
        </w:rPr>
      </w:pPr>
    </w:p>
    <w:p>
      <w:pPr>
        <w:pStyle w:val="6"/>
        <w:tabs>
          <w:tab w:val="left" w:pos="820"/>
          <w:tab w:val="left" w:pos="821"/>
        </w:tabs>
        <w:spacing w:before="227"/>
        <w:ind w:left="361" w:hanging="361" w:firstLine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How CG films can trigger potential audience thinking about environmental issues</w:t>
      </w:r>
    </w:p>
    <w:p>
      <w:pPr>
        <w:pStyle w:val="6"/>
        <w:tabs>
          <w:tab w:val="left" w:pos="820"/>
          <w:tab w:val="left" w:pos="821"/>
        </w:tabs>
        <w:spacing w:before="227"/>
        <w:ind w:left="105" w:leftChars="50" w:firstLine="945" w:firstLineChars="45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Mad Max: Fury Road shows a post-apocalyptic desert landscape that warns of depleting resources and environmental degradation.</w:t>
      </w:r>
    </w:p>
    <w:p>
      <w:pPr>
        <w:pStyle w:val="6"/>
        <w:tabs>
          <w:tab w:val="left" w:pos="820"/>
          <w:tab w:val="left" w:pos="821"/>
        </w:tabs>
        <w:spacing w:before="227"/>
        <w:ind w:left="105" w:leftChars="50" w:firstLine="945" w:firstLineChars="45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The Martian uses CG technology to simulate growing plants on Mars, demonstrating the potential of science to solve food and resource problems.</w:t>
      </w:r>
    </w:p>
    <w:p>
      <w:pPr>
        <w:pStyle w:val="6"/>
        <w:tabs>
          <w:tab w:val="left" w:pos="820"/>
          <w:tab w:val="left" w:pos="821"/>
        </w:tabs>
        <w:spacing w:before="227"/>
        <w:ind w:firstLine="1050" w:firstLineChars="5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By showcasing the ecosystems of Pandora and the predatory behaviour of humans, Avatar inspires a wide-ranging discussion on ecological conservation and sustainable development.</w:t>
      </w:r>
    </w:p>
    <w:p>
      <w:pPr>
        <w:pStyle w:val="6"/>
        <w:tabs>
          <w:tab w:val="left" w:pos="820"/>
          <w:tab w:val="left" w:pos="821"/>
        </w:tabs>
        <w:spacing w:before="227"/>
        <w:ind w:firstLine="0" w:firstLineChars="0"/>
        <w:jc w:val="left"/>
        <w:rPr>
          <w:color w:val="000000" w:themeColor="text1"/>
          <w14:textFill>
            <w14:solidFill>
              <w14:schemeClr w14:val="tx1"/>
            </w14:solidFill>
          </w14:textFill>
        </w:rPr>
      </w:pPr>
    </w:p>
    <w:p>
      <w:pPr>
        <w:pStyle w:val="6"/>
        <w:tabs>
          <w:tab w:val="left" w:pos="820"/>
          <w:tab w:val="left" w:pos="821"/>
        </w:tabs>
        <w:spacing w:before="227"/>
        <w:ind w:firstLine="0" w:firstLine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What are the unique advantages of CG films in communicating environmental themes?</w:t>
      </w:r>
    </w:p>
    <w:p>
      <w:pPr>
        <w:pStyle w:val="6"/>
        <w:tabs>
          <w:tab w:val="left" w:pos="820"/>
          <w:tab w:val="left" w:pos="821"/>
        </w:tabs>
        <w:spacing w:before="227"/>
        <w:ind w:left="416" w:leftChars="198" w:firstLine="476" w:firstLineChars="227"/>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Visual Effects and Emotional Impact</w:t>
      </w:r>
    </w:p>
    <w:p>
      <w:pPr>
        <w:pStyle w:val="6"/>
        <w:tabs>
          <w:tab w:val="left" w:pos="820"/>
          <w:tab w:val="left" w:pos="821"/>
        </w:tabs>
        <w:spacing w:before="227"/>
        <w:ind w:left="416" w:leftChars="198" w:firstLine="476" w:firstLineChars="227"/>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Story-driven and plot-led</w:t>
      </w:r>
    </w:p>
    <w:p>
      <w:pPr>
        <w:pStyle w:val="6"/>
        <w:tabs>
          <w:tab w:val="left" w:pos="820"/>
          <w:tab w:val="left" w:pos="821"/>
        </w:tabs>
        <w:spacing w:before="227"/>
        <w:ind w:left="361" w:hanging="361" w:firstLine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How do CG films consider audience diversity and acceptance while highlighting environmental issues?</w:t>
      </w:r>
    </w:p>
    <w:p>
      <w:pPr>
        <w:pStyle w:val="6"/>
        <w:tabs>
          <w:tab w:val="left" w:pos="820"/>
          <w:tab w:val="left" w:pos="821"/>
        </w:tabs>
        <w:spacing w:before="227"/>
        <w:ind w:left="416" w:leftChars="198" w:firstLine="476" w:firstLineChars="227"/>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Balancing commercialisation with environmental messages</w:t>
      </w:r>
    </w:p>
    <w:p>
      <w:pPr>
        <w:pStyle w:val="6"/>
        <w:tabs>
          <w:tab w:val="left" w:pos="820"/>
          <w:tab w:val="left" w:pos="821"/>
        </w:tabs>
        <w:spacing w:before="227"/>
        <w:ind w:left="361" w:hanging="361" w:firstLineChars="0"/>
        <w:jc w:val="left"/>
        <w:rPr>
          <w:color w:val="000000" w:themeColor="text1"/>
          <w14:textFill>
            <w14:solidFill>
              <w14:schemeClr w14:val="tx1"/>
            </w14:solidFill>
          </w14:textFill>
        </w:rPr>
      </w:pPr>
    </w:p>
    <w:p>
      <w:pPr>
        <w:pStyle w:val="6"/>
        <w:tabs>
          <w:tab w:val="left" w:pos="820"/>
          <w:tab w:val="left" w:pos="821"/>
        </w:tabs>
        <w:spacing w:before="227"/>
        <w:ind w:left="361" w:hanging="361" w:firstLine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How should CG films emphasize the importance of environmental protection to audiences in the future?</w:t>
      </w:r>
    </w:p>
    <w:p>
      <w:pPr>
        <w:pStyle w:val="6"/>
        <w:tabs>
          <w:tab w:val="left" w:pos="820"/>
          <w:tab w:val="left" w:pos="821"/>
        </w:tabs>
        <w:spacing w:before="227"/>
        <w:ind w:left="361" w:hanging="361" w:firstLineChars="0"/>
        <w:jc w:val="left"/>
        <w:rPr>
          <w:color w:val="000000" w:themeColor="text1"/>
          <w14:textFill>
            <w14:solidFill>
              <w14:schemeClr w14:val="tx1"/>
            </w14:solidFill>
          </w14:textFill>
        </w:rPr>
      </w:pPr>
    </w:p>
    <w:p>
      <w:pPr>
        <w:pStyle w:val="6"/>
        <w:tabs>
          <w:tab w:val="left" w:pos="820"/>
          <w:tab w:val="left" w:pos="821"/>
        </w:tabs>
        <w:spacing w:before="227"/>
        <w:ind w:firstLine="0" w:firstLine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bookmarkStart w:id="0" w:name="_GoBack"/>
      <w:bookmarkEnd w:id="0"/>
      <w:r>
        <w:rPr>
          <w:rFonts w:hint="eastAsia"/>
          <w:color w:val="000000" w:themeColor="text1"/>
          <w14:textFill>
            <w14:solidFill>
              <w14:schemeClr w14:val="tx1"/>
            </w14:solidFill>
          </w14:textFill>
        </w:rPr>
        <w:t>、</w:t>
      </w:r>
      <w:r>
        <w:rPr>
          <w:color w:val="000000" w:themeColor="text1"/>
          <w14:textFill>
            <w14:solidFill>
              <w14:schemeClr w14:val="tx1"/>
            </w14:solidFill>
          </w14:textFill>
        </w:rPr>
        <w:t>conclusions</w:t>
      </w:r>
    </w:p>
    <w:p>
      <w:pPr>
        <w:pStyle w:val="6"/>
        <w:tabs>
          <w:tab w:val="left" w:pos="820"/>
          <w:tab w:val="left" w:pos="821"/>
        </w:tabs>
        <w:spacing w:before="227"/>
        <w:ind w:left="361" w:hanging="361" w:firstLineChars="0"/>
        <w:jc w:val="left"/>
        <w:rPr>
          <w:rFonts w:ascii="宋体" w:hAnsi="宋体" w:eastAsia="宋体"/>
          <w:sz w:val="20"/>
        </w:rPr>
      </w:pPr>
    </w:p>
    <w:p>
      <w:pPr>
        <w:rPr>
          <w:color w:val="FF0000"/>
        </w:rPr>
      </w:pPr>
    </w:p>
    <w:p>
      <w:pPr>
        <w:rPr>
          <w:color w:val="FF0000"/>
        </w:rPr>
      </w:pPr>
    </w:p>
    <w:p>
      <w:pPr>
        <w:rPr>
          <w:color w:val="FF0000"/>
        </w:rPr>
      </w:pPr>
    </w:p>
    <w:p>
      <w:pPr>
        <w:rPr>
          <w:b/>
          <w:bCs/>
          <w:color w:val="FF0000"/>
        </w:rPr>
      </w:pPr>
      <w:r>
        <w:rPr>
          <w:color w:val="FF0000"/>
        </w:rPr>
        <w:t xml:space="preserve">- </w:t>
      </w:r>
      <w:r>
        <w:rPr>
          <w:b/>
          <w:bCs/>
          <w:color w:val="FF0000"/>
        </w:rPr>
        <w:t>Show development on Literature review</w:t>
      </w:r>
    </w:p>
    <w:p>
      <w:pPr>
        <w:pStyle w:val="6"/>
        <w:tabs>
          <w:tab w:val="left" w:pos="820"/>
          <w:tab w:val="left" w:pos="821"/>
        </w:tabs>
        <w:spacing w:before="227"/>
        <w:ind w:left="361" w:hanging="361" w:firstLineChars="0"/>
        <w:jc w:val="left"/>
        <w:rPr>
          <w:rFonts w:ascii="宋体" w:hAnsi="宋体" w:eastAsia="宋体"/>
          <w:sz w:val="20"/>
        </w:rPr>
      </w:pPr>
    </w:p>
    <w:p>
      <w:pPr>
        <w:rPr>
          <w:color w:val="000000" w:themeColor="text1"/>
          <w14:textFill>
            <w14:solidFill>
              <w14:schemeClr w14:val="tx1"/>
            </w14:solidFill>
          </w14:textFill>
        </w:rPr>
      </w:pPr>
      <w:r>
        <w:rPr>
          <w:color w:val="000000" w:themeColor="text1"/>
          <w14:textFill>
            <w14:solidFill>
              <w14:schemeClr w14:val="tx1"/>
            </w14:solidFill>
          </w14:textFill>
        </w:rPr>
        <w:t>According to Vivanco (2002) in his article Seeing Green: Knowing and Saving the Environment on Film, the mass media play a crucial role in the construction and communication of environmental problems and solutions, reflecting the close connection between film and television media and public environmental awareness.</w:t>
      </w:r>
    </w:p>
    <w:p>
      <w:pPr>
        <w:rPr>
          <w:color w:val="000000" w:themeColor="text1"/>
          <w14:textFill>
            <w14:solidFill>
              <w14:schemeClr w14:val="tx1"/>
            </w14:solidFill>
          </w14:textFill>
        </w:rPr>
      </w:pPr>
    </w:p>
    <w:p>
      <w:pPr>
        <w:rPr>
          <w:rFonts w:hint="eastAsia" w:eastAsiaTheme="minorEastAsia"/>
          <w:color w:val="000000" w:themeColor="text1"/>
          <w:highlight w:val="yellow"/>
          <w:lang w:eastAsia="zh-CN"/>
          <w14:textFill>
            <w14:solidFill>
              <w14:schemeClr w14:val="tx1"/>
            </w14:solidFill>
          </w14:textFill>
        </w:rPr>
      </w:pPr>
      <w:r>
        <w:rPr>
          <w:color w:val="000000" w:themeColor="text1"/>
          <w14:textFill>
            <w14:solidFill>
              <w14:schemeClr w14:val="tx1"/>
            </w14:solidFill>
          </w14:textFill>
        </w:rPr>
        <w:t>Matthew and Sarah and Anna (2018) fully support the previous viewpoints and state that film has great potential to disseminate environmental information and raise public awareness of environmental protection, and through the presentation of visual images,</w:t>
      </w:r>
      <w:r>
        <w:rPr>
          <w:color w:val="000000" w:themeColor="text1"/>
          <w:highlight w:val="yellow"/>
          <w14:textFill>
            <w14:solidFill>
              <w14:schemeClr w14:val="tx1"/>
            </w14:solidFill>
          </w14:textFill>
        </w:rPr>
        <w:t xml:space="preserve"> film can help people better understand environmental issues and pay attention to protected species. However, at the same time it is also accompanied by certain risks, for example, the beautiful natural landscapes and rare species shown in the film may attract a large number of tourists to the filming sites, aggravating the ecological pressure on environmentally sensitive areas In order to maximise the positive impact of the film in environmental protection, further research and careful management are therefore needed in order to balance the relationship between information dissemination and environmental protection.</w:t>
      </w:r>
      <w:r>
        <w:rPr>
          <w:rFonts w:hint="eastAsia"/>
          <w:color w:val="000000" w:themeColor="text1"/>
          <w:highlight w:val="yellow"/>
          <w:lang w:eastAsia="zh-CN"/>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找证据支撑</w:t>
      </w:r>
      <w:r>
        <w:rPr>
          <w:rFonts w:hint="eastAsia"/>
          <w:color w:val="000000" w:themeColor="text1"/>
          <w:highlight w:val="yellow"/>
          <w:lang w:eastAsia="zh-CN"/>
          <w14:textFill>
            <w14:solidFill>
              <w14:schemeClr w14:val="tx1"/>
            </w14:solidFill>
          </w14:textFill>
        </w:rPr>
        <w:t>）</w:t>
      </w:r>
    </w:p>
    <w:p>
      <w:pPr>
        <w:rPr>
          <w:color w:val="000000" w:themeColor="text1"/>
          <w14:textFill>
            <w14:solidFill>
              <w14:schemeClr w14:val="tx1"/>
            </w14:solidFill>
          </w14:textFill>
        </w:rPr>
      </w:pPr>
    </w:p>
    <w:p>
      <w:pPr>
        <w:rPr>
          <w:b/>
          <w:bCs/>
          <w:color w:val="FF0000"/>
        </w:rPr>
      </w:pPr>
    </w:p>
    <w:p>
      <w:pPr>
        <w:rPr>
          <w:b/>
          <w:bCs/>
          <w:color w:val="FF0000"/>
        </w:rPr>
      </w:pPr>
      <w:r>
        <w:rPr>
          <w:b/>
          <w:bCs/>
          <w:color w:val="FF0000"/>
        </w:rPr>
        <w:t>- A bibliography</w:t>
      </w:r>
    </w:p>
    <w:p>
      <w:pPr>
        <w:rPr>
          <w:b/>
          <w:bCs/>
          <w:color w:val="FF0000"/>
        </w:rPr>
      </w:pPr>
    </w:p>
    <w:p>
      <w:pPr>
        <w:rPr>
          <w:rFonts w:ascii="Arial" w:hAnsi="Arial" w:eastAsia="宋体" w:cs="Arial"/>
          <w:color w:val="222222"/>
          <w:sz w:val="11"/>
          <w:szCs w:val="11"/>
          <w:shd w:val="clear" w:color="auto" w:fill="FFFFFF"/>
        </w:rPr>
      </w:pPr>
      <w:r>
        <w:rPr>
          <w:rFonts w:ascii="Arial" w:hAnsi="Arial" w:eastAsia="宋体" w:cs="Arial"/>
          <w:color w:val="222222"/>
          <w:sz w:val="11"/>
          <w:szCs w:val="11"/>
          <w:shd w:val="clear" w:color="auto" w:fill="FFFFFF"/>
        </w:rPr>
        <w:t>Vivanco, Luis A. "Seeing green: Knowing and saving the environment on film." </w:t>
      </w:r>
      <w:r>
        <w:rPr>
          <w:rFonts w:ascii="Arial" w:hAnsi="Arial" w:eastAsia="宋体" w:cs="Arial"/>
          <w:i/>
          <w:iCs/>
          <w:color w:val="222222"/>
          <w:sz w:val="11"/>
          <w:szCs w:val="11"/>
          <w:shd w:val="clear" w:color="auto" w:fill="FFFFFF"/>
        </w:rPr>
        <w:t>American Anthropologist</w:t>
      </w:r>
      <w:r>
        <w:rPr>
          <w:rFonts w:ascii="Arial" w:hAnsi="Arial" w:eastAsia="宋体" w:cs="Arial"/>
          <w:color w:val="222222"/>
          <w:sz w:val="11"/>
          <w:szCs w:val="11"/>
          <w:shd w:val="clear" w:color="auto" w:fill="FFFFFF"/>
        </w:rPr>
        <w:t> 104.4 (2002): 1195-1204.</w:t>
      </w:r>
      <w:r>
        <w:rPr>
          <w:rFonts w:hint="eastAsia" w:ascii="Arial" w:hAnsi="Arial" w:eastAsia="宋体" w:cs="Arial"/>
          <w:color w:val="222222"/>
          <w:sz w:val="11"/>
          <w:szCs w:val="11"/>
          <w:shd w:val="clear" w:color="auto" w:fill="FFFFFF"/>
        </w:rPr>
        <w:t>：</w:t>
      </w:r>
    </w:p>
    <w:p>
      <w:pPr>
        <w:rPr>
          <w:rFonts w:ascii="Arial" w:hAnsi="Arial" w:eastAsia="宋体" w:cs="Arial"/>
          <w:color w:val="222222"/>
          <w:sz w:val="11"/>
          <w:szCs w:val="11"/>
          <w:shd w:val="clear" w:color="auto" w:fill="FFFFFF"/>
        </w:rPr>
      </w:pPr>
      <w:r>
        <w:fldChar w:fldCharType="begin"/>
      </w:r>
      <w:r>
        <w:instrText xml:space="preserve"> HYPERLINK "https://www.jstor.org/stable/3567107?seq=3" </w:instrText>
      </w:r>
      <w:r>
        <w:fldChar w:fldCharType="separate"/>
      </w:r>
      <w:r>
        <w:rPr>
          <w:rStyle w:val="4"/>
          <w:rFonts w:hint="eastAsia" w:ascii="Arial" w:hAnsi="Arial" w:eastAsia="宋体" w:cs="Arial"/>
          <w:sz w:val="11"/>
          <w:szCs w:val="11"/>
          <w:shd w:val="clear" w:color="auto" w:fill="FFFFFF"/>
        </w:rPr>
        <w:t>https://www.jstor.org/stable/3567107?seq=3</w:t>
      </w:r>
      <w:r>
        <w:rPr>
          <w:rStyle w:val="4"/>
          <w:rFonts w:hint="eastAsia" w:ascii="Arial" w:hAnsi="Arial" w:eastAsia="宋体" w:cs="Arial"/>
          <w:sz w:val="11"/>
          <w:szCs w:val="11"/>
          <w:shd w:val="clear" w:color="auto" w:fill="FFFFFF"/>
        </w:rPr>
        <w:fldChar w:fldCharType="end"/>
      </w:r>
    </w:p>
    <w:p>
      <w:pPr>
        <w:rPr>
          <w:rFonts w:ascii="Arial" w:hAnsi="Arial" w:eastAsia="宋体" w:cs="Arial"/>
          <w:color w:val="222222"/>
          <w:sz w:val="11"/>
          <w:szCs w:val="11"/>
          <w:shd w:val="clear" w:color="auto" w:fill="FFFFFF"/>
        </w:rPr>
      </w:pPr>
    </w:p>
    <w:p>
      <w:pPr>
        <w:rPr>
          <w:rFonts w:ascii="Arial" w:hAnsi="Arial" w:eastAsia="宋体" w:cs="Arial"/>
          <w:color w:val="222222"/>
          <w:sz w:val="11"/>
          <w:szCs w:val="11"/>
          <w:shd w:val="clear" w:color="auto" w:fill="FFFFFF"/>
        </w:rPr>
      </w:pPr>
      <w:r>
        <w:rPr>
          <w:rFonts w:ascii="Arial" w:hAnsi="Arial" w:eastAsia="宋体" w:cs="Arial"/>
          <w:color w:val="222222"/>
          <w:sz w:val="11"/>
          <w:szCs w:val="11"/>
          <w:shd w:val="clear" w:color="auto" w:fill="FFFFFF"/>
        </w:rPr>
        <w:t>Murray, Robin L., and Joseph K. Heumann. </w:t>
      </w:r>
      <w:r>
        <w:rPr>
          <w:rFonts w:ascii="Arial" w:hAnsi="Arial" w:eastAsia="宋体" w:cs="Arial"/>
          <w:i/>
          <w:iCs/>
          <w:color w:val="222222"/>
          <w:sz w:val="11"/>
          <w:szCs w:val="11"/>
          <w:shd w:val="clear" w:color="auto" w:fill="FFFFFF"/>
        </w:rPr>
        <w:t>That's all folks?: Ecocritical readings of American animated features</w:t>
      </w:r>
      <w:r>
        <w:rPr>
          <w:rFonts w:ascii="Arial" w:hAnsi="Arial" w:eastAsia="宋体" w:cs="Arial"/>
          <w:color w:val="222222"/>
          <w:sz w:val="11"/>
          <w:szCs w:val="11"/>
          <w:shd w:val="clear" w:color="auto" w:fill="FFFFFF"/>
        </w:rPr>
        <w:t>. U of Nebraska Press, 2011.</w:t>
      </w:r>
    </w:p>
    <w:p>
      <w:pPr>
        <w:rPr>
          <w:rFonts w:ascii="Arial" w:hAnsi="Arial" w:eastAsia="宋体" w:cs="Arial"/>
          <w:color w:val="222222"/>
          <w:sz w:val="11"/>
          <w:szCs w:val="11"/>
          <w:shd w:val="clear" w:color="auto" w:fill="FFFFFF"/>
        </w:rPr>
      </w:pPr>
      <w:r>
        <w:fldChar w:fldCharType="begin"/>
      </w:r>
      <w:r>
        <w:instrText xml:space="preserve"> HYPERLINK "https://books.google.co.uk/books?hl=zh-CN&amp;lr=&amp;id=toDDUG8GHAkC&amp;oi=fnd&amp;pg=PP9&amp;dq=related:wfpugQJrw1kJ:scholar.google.com/&amp;ots=iaPUmmVD4X&amp;sig=CemzFUFI6Cklmpk2Xraza-httRY#v=onepage&amp;q&amp;f=false" </w:instrText>
      </w:r>
      <w:r>
        <w:fldChar w:fldCharType="separate"/>
      </w:r>
      <w:r>
        <w:rPr>
          <w:rStyle w:val="5"/>
          <w:rFonts w:ascii="Arial" w:hAnsi="Arial" w:eastAsia="宋体" w:cs="Arial"/>
          <w:sz w:val="11"/>
          <w:szCs w:val="11"/>
          <w:shd w:val="clear" w:color="auto" w:fill="FFFFFF"/>
        </w:rPr>
        <w:t>https://books.google.co.uk/books?hl=zh-CN&amp;lr=&amp;id=toDDUG8GHAkC&amp;oi=fnd&amp;pg=PP9&amp;dq=related:wfpugQJrw1kJ:scholar.google.com/&amp;ots=iaPUmmVD4X&amp;sig=CemzFUFI6Cklmpk2Xraza-httRY#v=onepage&amp;q&amp;f=false</w:t>
      </w:r>
      <w:r>
        <w:rPr>
          <w:rStyle w:val="5"/>
          <w:rFonts w:ascii="Arial" w:hAnsi="Arial" w:eastAsia="宋体" w:cs="Arial"/>
          <w:sz w:val="11"/>
          <w:szCs w:val="11"/>
          <w:shd w:val="clear" w:color="auto" w:fill="FFFFFF"/>
        </w:rPr>
        <w:fldChar w:fldCharType="end"/>
      </w:r>
    </w:p>
    <w:p>
      <w:pPr>
        <w:rPr>
          <w:rFonts w:ascii="Arial" w:hAnsi="Arial" w:eastAsia="宋体" w:cs="Arial"/>
          <w:color w:val="222222"/>
          <w:sz w:val="11"/>
          <w:szCs w:val="11"/>
          <w:shd w:val="clear" w:color="auto" w:fill="FFFFFF"/>
        </w:rPr>
      </w:pPr>
    </w:p>
    <w:p>
      <w:pPr>
        <w:rPr>
          <w:rFonts w:ascii="Arial" w:hAnsi="Arial" w:eastAsia="宋体" w:cs="Arial"/>
          <w:color w:val="222222"/>
          <w:sz w:val="11"/>
          <w:szCs w:val="11"/>
          <w:shd w:val="clear" w:color="auto" w:fill="FFFFFF"/>
        </w:rPr>
      </w:pPr>
      <w:r>
        <w:rPr>
          <w:rFonts w:ascii="Arial" w:hAnsi="Arial" w:eastAsia="宋体" w:cs="Arial"/>
          <w:color w:val="222222"/>
          <w:sz w:val="11"/>
          <w:szCs w:val="11"/>
          <w:shd w:val="clear" w:color="auto" w:fill="FFFFFF"/>
        </w:rPr>
        <w:t>Dunaway, Finis. </w:t>
      </w:r>
      <w:r>
        <w:rPr>
          <w:rFonts w:ascii="Arial" w:hAnsi="Arial" w:eastAsia="宋体" w:cs="Arial"/>
          <w:i/>
          <w:iCs/>
          <w:color w:val="222222"/>
          <w:sz w:val="11"/>
          <w:szCs w:val="11"/>
          <w:shd w:val="clear" w:color="auto" w:fill="FFFFFF"/>
        </w:rPr>
        <w:t>Seeing green: The use and abuse of American environmental images</w:t>
      </w:r>
      <w:r>
        <w:rPr>
          <w:rFonts w:ascii="Arial" w:hAnsi="Arial" w:eastAsia="宋体" w:cs="Arial"/>
          <w:color w:val="222222"/>
          <w:sz w:val="11"/>
          <w:szCs w:val="11"/>
          <w:shd w:val="clear" w:color="auto" w:fill="FFFFFF"/>
        </w:rPr>
        <w:t>. University of Chicago Press, 2019.</w:t>
      </w:r>
    </w:p>
    <w:p>
      <w:pPr>
        <w:rPr>
          <w:rFonts w:ascii="Arial" w:hAnsi="Arial" w:eastAsia="宋体" w:cs="Arial"/>
          <w:color w:val="222222"/>
          <w:sz w:val="11"/>
          <w:szCs w:val="11"/>
          <w:shd w:val="clear" w:color="auto" w:fill="FFFFFF"/>
        </w:rPr>
      </w:pPr>
      <w:r>
        <w:fldChar w:fldCharType="begin"/>
      </w:r>
      <w:r>
        <w:instrText xml:space="preserve"> HYPERLINK "https://www.degruyter.com/document/doi/10.7208/9780226169934/html" </w:instrText>
      </w:r>
      <w:r>
        <w:fldChar w:fldCharType="separate"/>
      </w:r>
      <w:r>
        <w:rPr>
          <w:rStyle w:val="5"/>
          <w:rFonts w:ascii="Arial" w:hAnsi="Arial" w:eastAsia="宋体" w:cs="Arial"/>
          <w:sz w:val="11"/>
          <w:szCs w:val="11"/>
          <w:shd w:val="clear" w:color="auto" w:fill="FFFFFF"/>
        </w:rPr>
        <w:t>https://www.degruyter.com/document/doi/10.7208/9780226169934/html</w:t>
      </w:r>
      <w:r>
        <w:rPr>
          <w:rStyle w:val="5"/>
          <w:rFonts w:ascii="Arial" w:hAnsi="Arial" w:eastAsia="宋体" w:cs="Arial"/>
          <w:sz w:val="11"/>
          <w:szCs w:val="11"/>
          <w:shd w:val="clear" w:color="auto" w:fill="FFFFFF"/>
        </w:rPr>
        <w:fldChar w:fldCharType="end"/>
      </w:r>
    </w:p>
    <w:p>
      <w:pPr>
        <w:rPr>
          <w:rFonts w:ascii="Arial" w:hAnsi="Arial" w:eastAsia="宋体" w:cs="Arial"/>
          <w:color w:val="222222"/>
          <w:sz w:val="11"/>
          <w:szCs w:val="11"/>
          <w:shd w:val="clear" w:color="auto" w:fill="FFFFFF"/>
        </w:rPr>
      </w:pPr>
    </w:p>
    <w:p>
      <w:pPr>
        <w:rPr>
          <w:rFonts w:ascii="Arial" w:hAnsi="Arial" w:eastAsia="宋体" w:cs="Arial"/>
          <w:color w:val="222222"/>
          <w:sz w:val="11"/>
          <w:szCs w:val="11"/>
          <w:shd w:val="clear" w:color="auto" w:fill="FFFFFF"/>
        </w:rPr>
      </w:pPr>
      <w:r>
        <w:rPr>
          <w:rFonts w:ascii="Arial" w:hAnsi="Arial" w:eastAsia="宋体" w:cs="Arial"/>
          <w:color w:val="222222"/>
          <w:sz w:val="11"/>
          <w:szCs w:val="11"/>
          <w:shd w:val="clear" w:color="auto" w:fill="FFFFFF"/>
        </w:rPr>
        <w:t>Silk, Matthew J., et al. “</w:t>
      </w:r>
      <w:r>
        <w:rPr>
          <w:rFonts w:ascii="Arial" w:hAnsi="Arial" w:eastAsia="宋体" w:cs="Arial"/>
          <w:i/>
          <w:iCs/>
          <w:color w:val="222222"/>
          <w:sz w:val="11"/>
          <w:szCs w:val="11"/>
          <w:shd w:val="clear" w:color="auto" w:fill="FFFFFF"/>
        </w:rPr>
        <w:t>Considering Connections between Hollywood and Biodiversity Conservation</w:t>
      </w:r>
      <w:r>
        <w:rPr>
          <w:rFonts w:ascii="Arial" w:hAnsi="Arial" w:eastAsia="宋体" w:cs="Arial"/>
          <w:color w:val="222222"/>
          <w:sz w:val="11"/>
          <w:szCs w:val="11"/>
          <w:shd w:val="clear" w:color="auto" w:fill="FFFFFF"/>
        </w:rPr>
        <w:t>.” Conservation Biology, vol. 32, no. 3, 2018, pp. 597–606. JSTOR, http://www.jstor.org/stable/44973772. Accessed 19 May 2024.</w:t>
      </w:r>
    </w:p>
    <w:p>
      <w:pPr>
        <w:rPr>
          <w:rFonts w:ascii="Arial" w:hAnsi="Arial" w:eastAsia="宋体" w:cs="Arial"/>
          <w:color w:val="222222"/>
          <w:sz w:val="11"/>
          <w:szCs w:val="11"/>
          <w:shd w:val="clear" w:color="auto" w:fill="FFFFFF"/>
        </w:rPr>
      </w:pPr>
      <w:r>
        <w:fldChar w:fldCharType="begin"/>
      </w:r>
      <w:r>
        <w:instrText xml:space="preserve"> HYPERLINK "https://www.jstor.org/stable/44973772?refreqid=fastly-default%3A524cb9afc3ba61de4ce75b40a31ba6a5" </w:instrText>
      </w:r>
      <w:r>
        <w:fldChar w:fldCharType="separate"/>
      </w:r>
      <w:r>
        <w:rPr>
          <w:rStyle w:val="5"/>
          <w:rFonts w:ascii="Arial" w:hAnsi="Arial" w:eastAsia="宋体" w:cs="Arial"/>
          <w:sz w:val="11"/>
          <w:szCs w:val="11"/>
          <w:shd w:val="clear" w:color="auto" w:fill="FFFFFF"/>
        </w:rPr>
        <w:t>https://www.jstor.org/stable/44973772?refreqid=fastly-default%3A524cb9afc3ba61de4ce75b40a31ba6a5</w:t>
      </w:r>
      <w:r>
        <w:rPr>
          <w:rStyle w:val="5"/>
          <w:rFonts w:ascii="Arial" w:hAnsi="Arial" w:eastAsia="宋体" w:cs="Arial"/>
          <w:sz w:val="11"/>
          <w:szCs w:val="11"/>
          <w:shd w:val="clear" w:color="auto" w:fill="FFFFFF"/>
        </w:rPr>
        <w:fldChar w:fldCharType="end"/>
      </w:r>
    </w:p>
    <w:p>
      <w:pPr>
        <w:rPr>
          <w:rFonts w:ascii="Arial" w:hAnsi="Arial" w:eastAsia="宋体" w:cs="Arial"/>
          <w:color w:val="222222"/>
          <w:sz w:val="11"/>
          <w:szCs w:val="11"/>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MjBhOTYyNGVkNzFlOTVmNWJlNDgzYTFmYzVmNzIifQ=="/>
  </w:docVars>
  <w:rsids>
    <w:rsidRoot w:val="00A4584E"/>
    <w:rsid w:val="00435956"/>
    <w:rsid w:val="005C41DC"/>
    <w:rsid w:val="006D0DFC"/>
    <w:rsid w:val="00710B5A"/>
    <w:rsid w:val="00A4584E"/>
    <w:rsid w:val="00A469BE"/>
    <w:rsid w:val="00AD50BB"/>
    <w:rsid w:val="00BD3EEF"/>
    <w:rsid w:val="00C0200E"/>
    <w:rsid w:val="00D41393"/>
    <w:rsid w:val="00D8135F"/>
    <w:rsid w:val="00EA7A80"/>
    <w:rsid w:val="049778E3"/>
    <w:rsid w:val="0F9242C9"/>
    <w:rsid w:val="1F861028"/>
    <w:rsid w:val="4C825948"/>
    <w:rsid w:val="50EF330C"/>
    <w:rsid w:val="6723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800080"/>
      <w:u w:val="single"/>
    </w:rPr>
  </w:style>
  <w:style w:type="character" w:styleId="5">
    <w:name w:val="Hyperlink"/>
    <w:basedOn w:val="3"/>
    <w:semiHidden/>
    <w:unhideWhenUsed/>
    <w:uiPriority w:val="99"/>
    <w:rPr>
      <w:color w:val="0000FF"/>
      <w:u w:val="single"/>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884</Words>
  <Characters>5040</Characters>
  <Lines>42</Lines>
  <Paragraphs>11</Paragraphs>
  <TotalTime>123</TotalTime>
  <ScaleCrop>false</ScaleCrop>
  <LinksUpToDate>false</LinksUpToDate>
  <CharactersWithSpaces>5913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2024-05-20T21:28:00Z</dcterms:created>
  <dc:creator>Yifang Liu</dc:creator>
  <cp:lastModifiedBy>FF的小尾巴</cp:lastModifiedBy>
  <dcterms:modified xsi:type="dcterms:W3CDTF">2024-06-02T13:50:13Z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A446D755FC354E3FB57929794867DC21_12</vt:lpwstr>
  </property>
</Properties>
</file>